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2380" w:hanging="2240" w:hangingChars="700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</w:t>
      </w:r>
    </w:p>
    <w:p>
      <w:pPr>
        <w:spacing w:line="540" w:lineRule="exact"/>
        <w:ind w:left="2380" w:hanging="2380" w:hangingChars="700"/>
        <w:jc w:val="center"/>
        <w:rPr>
          <w:rFonts w:ascii="方正小标宋简体" w:hAnsi="黑体" w:eastAsia="方正小标宋简体"/>
          <w:sz w:val="34"/>
          <w:szCs w:val="34"/>
        </w:rPr>
      </w:pPr>
      <w:r>
        <w:rPr>
          <w:rFonts w:hint="eastAsia" w:ascii="方正小标宋简体" w:hAnsi="黑体" w:eastAsia="方正小标宋简体"/>
          <w:sz w:val="34"/>
          <w:szCs w:val="34"/>
        </w:rPr>
        <w:t>2022年度国家社科</w:t>
      </w:r>
      <w:r>
        <w:rPr>
          <w:rFonts w:ascii="方正小标宋简体" w:hAnsi="黑体" w:eastAsia="方正小标宋简体"/>
          <w:sz w:val="34"/>
          <w:szCs w:val="34"/>
        </w:rPr>
        <w:t>基金教育学</w:t>
      </w:r>
      <w:r>
        <w:rPr>
          <w:rFonts w:hint="eastAsia" w:ascii="方正小标宋简体" w:hAnsi="黑体" w:eastAsia="方正小标宋简体"/>
          <w:sz w:val="34"/>
          <w:szCs w:val="34"/>
        </w:rPr>
        <w:t>重大招标和</w:t>
      </w:r>
    </w:p>
    <w:p>
      <w:pPr>
        <w:spacing w:line="540" w:lineRule="exact"/>
        <w:jc w:val="center"/>
        <w:rPr>
          <w:rFonts w:ascii="黑体" w:hAnsi="黑体" w:eastAsia="黑体"/>
          <w:sz w:val="34"/>
          <w:szCs w:val="34"/>
        </w:rPr>
      </w:pPr>
      <w:r>
        <w:rPr>
          <w:rFonts w:hint="eastAsia" w:ascii="方正小标宋简体" w:hAnsi="黑体" w:eastAsia="方正小标宋简体"/>
          <w:sz w:val="34"/>
          <w:szCs w:val="34"/>
        </w:rPr>
        <w:t>重点课题指南</w:t>
      </w:r>
    </w:p>
    <w:p>
      <w:pPr>
        <w:spacing w:before="156" w:beforeLines="50" w:after="156" w:afterLines="50" w:line="600" w:lineRule="exact"/>
        <w:jc w:val="center"/>
        <w:rPr>
          <w:rFonts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>重大招标课题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十八大以来社会主义核心价值观教育的主要经验与深化机制研究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新时代教育公平的国家战略、推进策略与社会支持研究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新发展阶段教育促进共同富裕研究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高校战略</w:t>
      </w:r>
      <w:r>
        <w:rPr>
          <w:rFonts w:ascii="仿宋_GB2312" w:eastAsia="仿宋_GB2312"/>
          <w:sz w:val="32"/>
          <w:szCs w:val="32"/>
        </w:rPr>
        <w:t>科技力量</w:t>
      </w:r>
      <w:r>
        <w:rPr>
          <w:rFonts w:hint="eastAsia" w:ascii="仿宋_GB2312" w:eastAsia="仿宋_GB2312"/>
          <w:sz w:val="32"/>
          <w:szCs w:val="32"/>
        </w:rPr>
        <w:t>建设</w:t>
      </w:r>
      <w:r>
        <w:rPr>
          <w:rFonts w:ascii="仿宋_GB2312" w:eastAsia="仿宋_GB2312"/>
          <w:sz w:val="32"/>
          <w:szCs w:val="32"/>
        </w:rPr>
        <w:t>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“双减”背景下基础教育生态系统重构机制研究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中国技能型社会建设测度模型、驱动因素及路径优化研究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新时代高质量教师教育体系建设及师资供需配给研究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教育事权划分与支出责任研究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新时代老年教育服务体系建设研究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中国特色社会主义教育学话语体系研究</w:t>
      </w:r>
    </w:p>
    <w:p>
      <w:pPr>
        <w:spacing w:before="156" w:beforeLines="50" w:after="156" w:afterLines="50" w:line="600" w:lineRule="exact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重点课题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“双一流”大学全球战略研究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“双一流”大学建设世界重要人才中心的机制研究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新时代卓越工程师教育培养研究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我国专业学位研究生教育产教融合体系优化研究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城市群空间演进与区域高等教育布局重构研究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普及化阶段高校分类评价指标体系构建研究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高等教育普及化阶段毕业生就业政策研究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“冷门绝学”基础学科的人才培养体系研究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省域优质均衡发展的基本公共教育服务体系构建研究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“双减”政策落实的过程监测和成效评价研究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中小学地方课程教材定位与功能研究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职业本科教育的推进路径及实施策略研究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国际比较视野下职业教育社会认同的提升策略研究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境外主体独立办学的风险与法律规制研究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民办教育分类管理视域下的举办者行为规制研究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教育经费投入的可持续性及合理分配研究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智能技术赋能教育评价改革研究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人工智能教育场景应用的伦理与限度研究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我国青少年社会与情感能力培养研究</w:t>
      </w:r>
    </w:p>
    <w:p>
      <w:pPr>
        <w:pStyle w:val="10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校园足球实践与新型足球学校建设研究</w:t>
      </w:r>
    </w:p>
    <w:p>
      <w:pPr>
        <w:pStyle w:val="10"/>
        <w:spacing w:line="600" w:lineRule="exact"/>
        <w:ind w:left="480" w:firstLine="0" w:firstLineChars="0"/>
        <w:rPr>
          <w:rFonts w:ascii="仿宋_GB2312" w:eastAsia="仿宋_GB2312"/>
          <w:sz w:val="32"/>
          <w:szCs w:val="32"/>
        </w:rPr>
      </w:pPr>
    </w:p>
    <w:p>
      <w:pPr>
        <w:pStyle w:val="10"/>
        <w:spacing w:line="600" w:lineRule="exact"/>
        <w:ind w:left="480" w:firstLine="0" w:firstLineChars="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行楷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新报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中等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珊瑚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090893"/>
    <w:multiLevelType w:val="multilevel"/>
    <w:tmpl w:val="04090893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7D3"/>
    <w:rsid w:val="000037D3"/>
    <w:rsid w:val="00012FA5"/>
    <w:rsid w:val="00160523"/>
    <w:rsid w:val="001A22EC"/>
    <w:rsid w:val="001C67F9"/>
    <w:rsid w:val="00230341"/>
    <w:rsid w:val="00362422"/>
    <w:rsid w:val="003A0C55"/>
    <w:rsid w:val="003C7AAC"/>
    <w:rsid w:val="003F20B8"/>
    <w:rsid w:val="00463249"/>
    <w:rsid w:val="00470834"/>
    <w:rsid w:val="004A6AD5"/>
    <w:rsid w:val="00590CE1"/>
    <w:rsid w:val="005A2377"/>
    <w:rsid w:val="006A15D0"/>
    <w:rsid w:val="006E23AC"/>
    <w:rsid w:val="00701115"/>
    <w:rsid w:val="008018BE"/>
    <w:rsid w:val="00853235"/>
    <w:rsid w:val="008E26F5"/>
    <w:rsid w:val="009C371A"/>
    <w:rsid w:val="009D65BD"/>
    <w:rsid w:val="00A57704"/>
    <w:rsid w:val="00AE7DBC"/>
    <w:rsid w:val="00B23B57"/>
    <w:rsid w:val="00B64634"/>
    <w:rsid w:val="00C84FBA"/>
    <w:rsid w:val="00CB5AE4"/>
    <w:rsid w:val="00D24913"/>
    <w:rsid w:val="00D86802"/>
    <w:rsid w:val="00F0163B"/>
    <w:rsid w:val="516A4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