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37123">
      <w:pPr>
        <w:pStyle w:val="5"/>
        <w:widowControl/>
        <w:shd w:val="clear" w:color="auto" w:fill="FFFFFF"/>
        <w:spacing w:before="100" w:beforeAutospacing="0" w:after="70" w:afterAutospacing="0" w:line="20" w:lineRule="atLeast"/>
        <w:rPr>
          <w:rFonts w:ascii="sans-serif" w:hAnsi="sans-serif" w:eastAsia="sans-serif" w:cs="sans-serif"/>
          <w:color w:val="333333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Cs/>
          <w:color w:val="333333"/>
          <w:sz w:val="21"/>
          <w:szCs w:val="21"/>
          <w:shd w:val="clear" w:color="auto" w:fill="FFFFFF"/>
        </w:rPr>
        <w:t>竞赛时间安排与流程</w:t>
      </w:r>
    </w:p>
    <w:tbl>
      <w:tblPr>
        <w:tblStyle w:val="6"/>
        <w:tblW w:w="827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320"/>
        <w:gridCol w:w="3874"/>
        <w:gridCol w:w="2059"/>
      </w:tblGrid>
      <w:tr w14:paraId="40FE4A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27084E06">
            <w:pPr>
              <w:pStyle w:val="5"/>
              <w:widowControl/>
              <w:spacing w:beforeAutospacing="0" w:after="100" w:afterAutospacing="0" w:line="34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日期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A2FE86F">
            <w:pPr>
              <w:pStyle w:val="5"/>
              <w:widowControl/>
              <w:spacing w:beforeAutospacing="0" w:after="100" w:afterAutospacing="0" w:line="34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时间</w:t>
            </w:r>
          </w:p>
        </w:tc>
        <w:tc>
          <w:tcPr>
            <w:tcW w:w="3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3D952CE">
            <w:pPr>
              <w:pStyle w:val="5"/>
              <w:widowControl/>
              <w:spacing w:beforeAutospacing="0" w:after="100" w:afterAutospacing="0" w:line="34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主要内容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07E6E5FF">
            <w:pPr>
              <w:pStyle w:val="5"/>
              <w:widowControl/>
              <w:spacing w:beforeAutospacing="0" w:after="100" w:afterAutospacing="0" w:line="34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地点</w:t>
            </w:r>
          </w:p>
        </w:tc>
      </w:tr>
      <w:tr w14:paraId="651A87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920EE5C">
            <w:pPr>
              <w:pStyle w:val="5"/>
              <w:widowControl/>
              <w:spacing w:beforeAutospacing="0" w:after="100" w:afterAutospacing="0" w:line="34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11月25日前</w:t>
            </w:r>
          </w:p>
        </w:tc>
        <w:tc>
          <w:tcPr>
            <w:tcW w:w="3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EB7E3D9">
            <w:pPr>
              <w:pStyle w:val="5"/>
              <w:widowControl/>
              <w:spacing w:beforeAutospacing="0" w:after="100" w:afterAutospacing="0" w:line="16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完成比赛报名</w:t>
            </w:r>
          </w:p>
        </w:tc>
        <w:tc>
          <w:tcPr>
            <w:tcW w:w="2059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1E47A99">
            <w:pPr>
              <w:rPr>
                <w:rFonts w:hint="eastAsia" w:ascii="sans-serif" w:hAnsi="sans-serif" w:eastAsia="宋体" w:cs="sans-seri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东南校区东风楼西测量实训基地（天气变化调整另行通知）</w:t>
            </w:r>
          </w:p>
        </w:tc>
      </w:tr>
      <w:tr w14:paraId="48686B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A7C92A5">
            <w:pPr>
              <w:rPr>
                <w:rFonts w:ascii="sans-serif" w:hAnsi="sans-serif" w:eastAsia="sans-serif" w:cs="sans-seri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11月29日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0B85D35">
            <w:pPr>
              <w:pStyle w:val="5"/>
              <w:widowControl/>
              <w:spacing w:beforeAutospacing="0" w:after="100" w:afterAutospacing="0" w:line="34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15：30-16：30</w:t>
            </w:r>
          </w:p>
        </w:tc>
        <w:tc>
          <w:tcPr>
            <w:tcW w:w="3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A73040D">
            <w:pPr>
              <w:pStyle w:val="5"/>
              <w:widowControl/>
              <w:spacing w:beforeAutospacing="0" w:after="100" w:afterAutospacing="0" w:line="16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选手熟悉比赛场地</w:t>
            </w:r>
          </w:p>
        </w:tc>
        <w:tc>
          <w:tcPr>
            <w:tcW w:w="20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DC9ED3F">
            <w:pPr>
              <w:rPr>
                <w:rFonts w:ascii="sans-serif" w:hAnsi="sans-serif" w:eastAsia="sans-serif" w:cs="sans-serif"/>
                <w:sz w:val="21"/>
                <w:szCs w:val="21"/>
              </w:rPr>
            </w:pPr>
          </w:p>
        </w:tc>
      </w:tr>
      <w:tr w14:paraId="14B3F0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4207256">
            <w:pPr>
              <w:pStyle w:val="5"/>
              <w:widowControl/>
              <w:spacing w:beforeAutospacing="0" w:after="100" w:afterAutospacing="0" w:line="34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11月30日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0A417CC">
            <w:pPr>
              <w:pStyle w:val="5"/>
              <w:widowControl/>
              <w:spacing w:beforeAutospacing="0" w:after="100" w:afterAutospacing="0" w:line="34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7：00 -20：00</w:t>
            </w:r>
          </w:p>
        </w:tc>
        <w:tc>
          <w:tcPr>
            <w:tcW w:w="3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3BA4A56">
            <w:pPr>
              <w:pStyle w:val="5"/>
              <w:widowControl/>
              <w:spacing w:beforeAutospacing="0" w:after="100" w:afterAutospacing="0" w:line="16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参赛队伍检录、加密、正式比赛、裁判评分</w:t>
            </w:r>
          </w:p>
        </w:tc>
        <w:tc>
          <w:tcPr>
            <w:tcW w:w="20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23C45C6">
            <w:pPr>
              <w:rPr>
                <w:rFonts w:ascii="sans-serif" w:hAnsi="sans-serif" w:eastAsia="sans-serif" w:cs="sans-serif"/>
                <w:sz w:val="21"/>
                <w:szCs w:val="21"/>
              </w:rPr>
            </w:pPr>
          </w:p>
        </w:tc>
      </w:tr>
      <w:tr w14:paraId="39EADB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5B42400">
            <w:pPr>
              <w:rPr>
                <w:rFonts w:ascii="sans-serif" w:hAnsi="sans-serif" w:eastAsia="sans-serif" w:cs="sans-serif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7CDBC64">
            <w:pPr>
              <w:pStyle w:val="5"/>
              <w:widowControl/>
              <w:spacing w:beforeAutospacing="0" w:after="100" w:afterAutospacing="0" w:line="34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21：00 -22：00</w:t>
            </w:r>
          </w:p>
        </w:tc>
        <w:tc>
          <w:tcPr>
            <w:tcW w:w="3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B8E36BC">
            <w:pPr>
              <w:pStyle w:val="5"/>
              <w:widowControl/>
              <w:spacing w:beforeAutospacing="0" w:after="100" w:afterAutospacing="0" w:line="34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成绩汇总、公示</w:t>
            </w:r>
          </w:p>
        </w:tc>
        <w:tc>
          <w:tcPr>
            <w:tcW w:w="20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B7F75FC">
            <w:pPr>
              <w:rPr>
                <w:rFonts w:ascii="sans-serif" w:hAnsi="sans-serif" w:eastAsia="sans-serif" w:cs="sans-serif"/>
                <w:sz w:val="21"/>
                <w:szCs w:val="21"/>
              </w:rPr>
            </w:pPr>
          </w:p>
        </w:tc>
      </w:tr>
    </w:tbl>
    <w:p w14:paraId="0323FD55">
      <w:pPr>
        <w:pStyle w:val="5"/>
        <w:widowControl/>
        <w:shd w:val="clear" w:color="auto" w:fill="FFFFFF"/>
        <w:spacing w:before="100" w:beforeAutospacing="0" w:after="70" w:afterAutospacing="0" w:line="20" w:lineRule="atLeast"/>
        <w:rPr>
          <w:rFonts w:ascii="sans-serif" w:hAnsi="sans-serif" w:eastAsia="sans-serif" w:cs="sans-serif"/>
          <w:color w:val="333333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Cs/>
          <w:color w:val="333333"/>
          <w:sz w:val="21"/>
          <w:szCs w:val="21"/>
          <w:shd w:val="clear" w:color="auto" w:fill="FFFFFF"/>
        </w:rPr>
        <w:t>评分标准制定原则、评分方法、评分细则</w:t>
      </w:r>
    </w:p>
    <w:tbl>
      <w:tblPr>
        <w:tblStyle w:val="6"/>
        <w:tblW w:w="827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30"/>
        <w:gridCol w:w="5274"/>
        <w:gridCol w:w="600"/>
        <w:gridCol w:w="609"/>
      </w:tblGrid>
      <w:tr w14:paraId="36DD7A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2CC78AF">
            <w:pPr>
              <w:pStyle w:val="5"/>
              <w:widowControl/>
              <w:spacing w:beforeAutospacing="0" w:after="100" w:afterAutospacing="0" w:line="2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1313B64">
            <w:pPr>
              <w:pStyle w:val="5"/>
              <w:widowControl/>
              <w:spacing w:beforeAutospacing="0" w:after="100" w:afterAutospacing="0" w:line="2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评分项</w:t>
            </w:r>
          </w:p>
        </w:tc>
        <w:tc>
          <w:tcPr>
            <w:tcW w:w="5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9925157">
            <w:pPr>
              <w:pStyle w:val="5"/>
              <w:widowControl/>
              <w:spacing w:beforeAutospacing="0" w:after="100" w:afterAutospacing="0" w:line="2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评分细则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917E4CF">
            <w:pPr>
              <w:pStyle w:val="5"/>
              <w:widowControl/>
              <w:spacing w:beforeAutospacing="0" w:after="100" w:afterAutospacing="0" w:line="2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分值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1C308D5">
            <w:pPr>
              <w:pStyle w:val="5"/>
              <w:widowControl/>
              <w:spacing w:beforeAutospacing="0" w:after="100" w:afterAutospacing="0" w:line="2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得分</w:t>
            </w:r>
          </w:p>
        </w:tc>
      </w:tr>
      <w:tr w14:paraId="00D128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4F506AA">
            <w:pPr>
              <w:pStyle w:val="5"/>
              <w:widowControl/>
              <w:spacing w:beforeAutospacing="0" w:after="100" w:afterAutospacing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B37A3EB">
            <w:pPr>
              <w:pStyle w:val="5"/>
              <w:widowControl/>
              <w:spacing w:beforeAutospacing="0" w:after="100" w:afterAutospacing="0"/>
              <w:jc w:val="both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技能水平</w:t>
            </w:r>
          </w:p>
        </w:tc>
        <w:tc>
          <w:tcPr>
            <w:tcW w:w="52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ED65D48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1.熟练掌握本专业或工作岗位的技能。</w:t>
            </w:r>
          </w:p>
          <w:p w14:paraId="1334BAC7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2.技能操作规范，符合行业和岗位标准。</w:t>
            </w:r>
          </w:p>
          <w:p w14:paraId="24797524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3.具备较高的技能操作水平及解决复杂问题的综合能力。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C6E6CBF">
            <w:pPr>
              <w:pStyle w:val="5"/>
              <w:widowControl/>
              <w:spacing w:beforeAutospacing="0" w:after="100" w:afterAutospacing="0"/>
              <w:jc w:val="center"/>
              <w:rPr>
                <w:rFonts w:hint="eastAsia" w:ascii="sans-serif" w:hAnsi="sans-serif" w:eastAsia="宋体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60</w:t>
            </w:r>
          </w:p>
        </w:tc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CBD592C">
            <w:pPr>
              <w:pStyle w:val="5"/>
              <w:widowControl/>
              <w:spacing w:beforeAutospacing="0" w:after="100" w:afterAutospacing="0"/>
              <w:ind w:firstLine="420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 </w:t>
            </w:r>
          </w:p>
        </w:tc>
      </w:tr>
      <w:tr w14:paraId="7F744A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C9DBC89">
            <w:pPr>
              <w:jc w:val="center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E8A30E1">
            <w:pPr>
              <w:autoSpaceDE w:val="0"/>
              <w:autoSpaceDN w:val="0"/>
              <w:spacing w:before="141"/>
              <w:ind w:right="179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职业素养</w:t>
            </w:r>
          </w:p>
        </w:tc>
        <w:tc>
          <w:tcPr>
            <w:tcW w:w="52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216305B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1.展现较好的职业伦理，具有工匠精神。</w:t>
            </w:r>
          </w:p>
          <w:p w14:paraId="31B1788C">
            <w:pPr>
              <w:tabs>
                <w:tab w:val="left" w:pos="398"/>
              </w:tabs>
              <w:autoSpaceDE w:val="0"/>
              <w:autoSpaceDN w:val="0"/>
              <w:ind w:right="91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2.展现学校对学生全面培养、基本素养培育和成长发展的成效。</w:t>
            </w:r>
          </w:p>
          <w:p w14:paraId="0E7A723C">
            <w:pPr>
              <w:tabs>
                <w:tab w:val="left" w:pos="397"/>
              </w:tabs>
              <w:autoSpaceDE w:val="0"/>
              <w:autoSpaceDN w:val="0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3.展现职业教育育人成果，体现产教融合、科教融汇。</w:t>
            </w:r>
          </w:p>
          <w:p w14:paraId="1C3FED64">
            <w:pPr>
              <w:autoSpaceDE w:val="0"/>
              <w:autoSpaceDN w:val="0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4.具备良好的职业道德、职业精神、职业素养。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285EA22">
            <w:pPr>
              <w:pStyle w:val="5"/>
              <w:widowControl/>
              <w:spacing w:beforeAutospacing="0" w:after="100" w:afterAutospacing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10</w:t>
            </w:r>
          </w:p>
        </w:tc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DA3C948">
            <w:pPr>
              <w:pStyle w:val="5"/>
              <w:widowControl/>
              <w:spacing w:beforeAutospacing="0" w:after="100" w:afterAutospacing="0"/>
              <w:ind w:firstLine="420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 w14:paraId="555604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CB139EC">
            <w:pPr>
              <w:jc w:val="center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C6A118D">
            <w:pPr>
              <w:autoSpaceDE w:val="0"/>
              <w:autoSpaceDN w:val="0"/>
              <w:spacing w:before="1"/>
              <w:ind w:right="212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应用价值</w:t>
            </w:r>
          </w:p>
        </w:tc>
        <w:tc>
          <w:tcPr>
            <w:tcW w:w="52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8437C6C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1.有助于解决生产一线实际问题或现实困难。</w:t>
            </w:r>
          </w:p>
          <w:p w14:paraId="63BFF956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2.能够促进职业学校学生高质量就业，包括直接间接推动扩大就业规模等。</w:t>
            </w:r>
          </w:p>
          <w:p w14:paraId="09537F68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3.对推动产业转型升级、区域经济发展、乡村振兴、城市社区治理、城乡融合发展等具有积极作用。</w:t>
            </w:r>
          </w:p>
          <w:p w14:paraId="6416AEDC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4.符合绿色低碳节能的可待续发展理念，有利千改善人民生活、提升人民生活质量。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A458012">
            <w:pPr>
              <w:pStyle w:val="5"/>
              <w:widowControl/>
              <w:spacing w:beforeAutospacing="0" w:after="100" w:afterAutospacing="0"/>
              <w:jc w:val="center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10</w:t>
            </w:r>
          </w:p>
        </w:tc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DB944C8">
            <w:pPr>
              <w:pStyle w:val="5"/>
              <w:widowControl/>
              <w:spacing w:beforeAutospacing="0" w:after="100" w:afterAutospacing="0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</w:tr>
      <w:tr w14:paraId="2D3916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271DC2E">
            <w:pPr>
              <w:pStyle w:val="5"/>
              <w:widowControl/>
              <w:spacing w:beforeAutospacing="0" w:after="100" w:afterAutospacing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lang w:bidi="ar"/>
              </w:rPr>
              <w:t>4</w:t>
            </w:r>
          </w:p>
        </w:tc>
        <w:tc>
          <w:tcPr>
            <w:tcW w:w="1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926AC1A">
            <w:pPr>
              <w:pStyle w:val="5"/>
              <w:widowControl/>
              <w:spacing w:beforeAutospacing="0" w:after="100" w:afterAutospacing="0"/>
              <w:jc w:val="both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lang w:bidi="ar"/>
              </w:rPr>
              <w:t>团队合作</w:t>
            </w:r>
          </w:p>
        </w:tc>
        <w:tc>
          <w:tcPr>
            <w:tcW w:w="52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8A5185A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1.团队成员能够准确理解共同目标和任务，清楚自己的角色定位和职责。</w:t>
            </w:r>
          </w:p>
          <w:p w14:paraId="156CA130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2.团队成员在比赛中能够有效沟通、紧密协作。</w:t>
            </w:r>
          </w:p>
          <w:p w14:paraId="2F745044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3.团队成员能够相互补台，共同应对突发情况。</w:t>
            </w:r>
          </w:p>
          <w:p w14:paraId="6F78FB5D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4.团队成员相互尊重、信任和支持，拥有良好的团队氛围。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40419D6">
            <w:pPr>
              <w:pStyle w:val="5"/>
              <w:widowControl/>
              <w:spacing w:beforeAutospacing="0" w:after="100" w:afterAutospacing="0"/>
              <w:jc w:val="center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10</w:t>
            </w:r>
          </w:p>
        </w:tc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E5BE94B">
            <w:pPr>
              <w:pStyle w:val="5"/>
              <w:widowControl/>
              <w:spacing w:beforeAutospacing="0" w:after="100" w:afterAutospacing="0"/>
              <w:ind w:firstLine="420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 </w:t>
            </w:r>
          </w:p>
        </w:tc>
      </w:tr>
      <w:tr w14:paraId="6E1781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AB4BBF4">
            <w:pPr>
              <w:pStyle w:val="5"/>
              <w:widowControl/>
              <w:spacing w:beforeAutospacing="0" w:after="100" w:afterAutospacing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lang w:bidi="ar"/>
              </w:rPr>
              <w:t>5</w:t>
            </w:r>
          </w:p>
        </w:tc>
        <w:tc>
          <w:tcPr>
            <w:tcW w:w="1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3981B27">
            <w:pPr>
              <w:pStyle w:val="5"/>
              <w:widowControl/>
              <w:spacing w:beforeAutospacing="0" w:after="100" w:afterAutospacing="0"/>
              <w:jc w:val="both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lang w:bidi="ar"/>
              </w:rPr>
              <w:t>创新创意</w:t>
            </w:r>
          </w:p>
        </w:tc>
        <w:tc>
          <w:tcPr>
            <w:tcW w:w="52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55531EB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1.体现原始创意、创新</w:t>
            </w:r>
          </w:p>
          <w:p w14:paraId="61643A7A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2体现面向职业和岗位的创意及创新，侧重于实用技术技能创新、项目数字化改良、应用性优化、民生类创意等。</w:t>
            </w:r>
          </w:p>
          <w:p w14:paraId="3570FFA8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3.体现团队成员创新精神和创新能力，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8A40015">
            <w:pPr>
              <w:pStyle w:val="5"/>
              <w:widowControl/>
              <w:spacing w:beforeAutospacing="0" w:after="100" w:afterAutospacing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10</w:t>
            </w:r>
          </w:p>
        </w:tc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4FB680A">
            <w:pPr>
              <w:pStyle w:val="5"/>
              <w:widowControl/>
              <w:spacing w:beforeAutospacing="0" w:after="100" w:afterAutospacing="0"/>
              <w:ind w:firstLine="420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 w14:paraId="4BE36D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27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70" w:type="dxa"/>
              <w:right w:w="70" w:type="dxa"/>
            </w:tcMar>
            <w:vAlign w:val="center"/>
          </w:tcPr>
          <w:p w14:paraId="6D4AFBC8">
            <w:pPr>
              <w:pStyle w:val="5"/>
              <w:widowControl/>
              <w:spacing w:beforeAutospacing="0" w:after="100" w:afterAutospacing="0" w:line="2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满分100分</w:t>
            </w:r>
          </w:p>
        </w:tc>
      </w:tr>
    </w:tbl>
    <w:p w14:paraId="4F52791E">
      <w:pPr>
        <w:pStyle w:val="5"/>
        <w:widowControl/>
        <w:shd w:val="clear" w:color="auto" w:fill="FFFFFF"/>
        <w:spacing w:before="100" w:beforeAutospacing="0" w:after="70" w:afterAutospacing="0" w:line="20" w:lineRule="atLeast"/>
        <w:rPr>
          <w:rStyle w:val="8"/>
          <w:rFonts w:hint="eastAsia" w:ascii="微软雅黑" w:hAnsi="微软雅黑" w:eastAsia="微软雅黑" w:cs="微软雅黑"/>
          <w:bCs/>
          <w:color w:val="333333"/>
          <w:sz w:val="21"/>
          <w:szCs w:val="21"/>
          <w:shd w:val="clear" w:color="auto" w:fill="FFFFFF"/>
        </w:rPr>
      </w:pPr>
      <w:r>
        <w:rPr>
          <w:rStyle w:val="8"/>
          <w:rFonts w:hint="eastAsia" w:ascii="微软雅黑" w:hAnsi="微软雅黑" w:eastAsia="微软雅黑" w:cs="微软雅黑"/>
          <w:bCs/>
          <w:color w:val="333333"/>
          <w:sz w:val="21"/>
          <w:szCs w:val="21"/>
          <w:shd w:val="clear" w:color="auto" w:fill="FFFFFF"/>
        </w:rPr>
        <w:t>奖项设置</w:t>
      </w:r>
    </w:p>
    <w:p w14:paraId="42EEC1FC">
      <w:pPr>
        <w:pStyle w:val="5"/>
        <w:widowControl/>
        <w:shd w:val="clear" w:color="auto" w:fill="FFFFFF"/>
        <w:spacing w:before="100" w:beforeAutospacing="0" w:after="70" w:afterAutospacing="0" w:line="20" w:lineRule="atLeast"/>
        <w:rPr>
          <w:rFonts w:ascii="sans-serif" w:hAnsi="sans-serif" w:eastAsia="sans-serif" w:cs="sans-serif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由裁判进行过程评分，满分为100分。裁判根据选手的表现，按照评分标准评分。本赛项设团体一、二、三等奖。以赛项实际参赛队总数为基数，一、二、三等奖获奖比例分别为10%、15%、25%（小数点后四舍五），比赛颁发证书。</w:t>
      </w:r>
    </w:p>
    <w:p w14:paraId="740A3EE3">
      <w:pPr>
        <w:rPr>
          <w:sz w:val="24"/>
          <w:szCs w:val="24"/>
        </w:rPr>
      </w:pPr>
    </w:p>
    <w:p w14:paraId="1CDF5033">
      <w:pPr>
        <w:rPr>
          <w:sz w:val="24"/>
          <w:szCs w:val="24"/>
        </w:rPr>
      </w:pPr>
    </w:p>
    <w:p w14:paraId="35A1BDD9">
      <w:pPr>
        <w:rPr>
          <w:sz w:val="24"/>
          <w:szCs w:val="24"/>
        </w:rPr>
      </w:pPr>
    </w:p>
    <w:tbl>
      <w:tblPr>
        <w:tblStyle w:val="6"/>
        <w:tblW w:w="8340" w:type="dxa"/>
        <w:tblInd w:w="8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550"/>
        <w:gridCol w:w="1220"/>
        <w:gridCol w:w="1270"/>
        <w:gridCol w:w="1020"/>
        <w:gridCol w:w="1300"/>
        <w:gridCol w:w="1340"/>
      </w:tblGrid>
      <w:tr w14:paraId="2C163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8909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附件1 2024年安徽职业技术学院“地理空间信息采集与处理”赛项技能大赛参赛报名表</w:t>
            </w:r>
          </w:p>
        </w:tc>
      </w:tr>
      <w:tr w14:paraId="13F28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0BCA1847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4CA2C917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参赛队名称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2D26A7F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参赛选手</w:t>
            </w:r>
          </w:p>
          <w:p w14:paraId="5DD5047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7D17A4B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参赛选手</w:t>
            </w:r>
          </w:p>
          <w:p w14:paraId="12DBB7B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454762D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参赛选手班级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037792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指导教师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77ACF27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指导教师电话</w:t>
            </w:r>
          </w:p>
        </w:tc>
      </w:tr>
      <w:tr w14:paraId="50B09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FB96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5320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8110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9C2E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4C6E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0E63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4915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</w:tr>
      <w:tr w14:paraId="47C03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5637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F2AF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AFCE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1039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6404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5691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3776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AB3A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965E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FD97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6F5C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CF8C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A9EA3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E5D2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0A9A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F5F2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14FC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BABE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20C6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447B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8C73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E178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E8E7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A8227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F00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0336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3CFF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263B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5052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4FC6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FAD83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139DC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B051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94B40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8B24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1A87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88EA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05A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C910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428DF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6AD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CA30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78B4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EB15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22B3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BA97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5000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D220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544A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6E3BC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0DEA3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A2A4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2925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E17B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EEE98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467D0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3966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9A73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48B7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50C0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7CBF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722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59EC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EF13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D4D8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8E5E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2610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BE66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6EC6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D585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B1C7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4607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B6DF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7332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AAE1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8AB7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6987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47A2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E8EF8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EF560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367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249B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C437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7B1B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0BDD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F6EA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F26A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0FFD0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3C1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F6ED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500A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5BDF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9E6D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FAB1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65AF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C724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97A7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579F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3979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DA82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8AAF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6238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E6D8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BC71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2306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EB2F6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0BA3B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8432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8705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D3B5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ED83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449D7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FE41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1F0D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F4B2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D5EB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0F4D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213E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7B7C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ED79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371B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2333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02B9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7FB0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ED83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58A1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5158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0D55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D807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B9C6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DC1C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296D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EB6A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0587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7F77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12D5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7D1B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50E28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CC71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40248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0A08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26B8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B74A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A1B3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D9AD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B8F6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B2A53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18C7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3352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207D3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37E5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 w14:paraId="4269A2AB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YmI3YWQ1ZjQzZmQyNTJiNzU2ZjY4ZDMwOWVjMTEifQ=="/>
    <w:docVar w:name="KSO_WPS_MARK_KEY" w:val="74f29f89-e4a3-4deb-a778-26de5cec20d2"/>
  </w:docVars>
  <w:rsids>
    <w:rsidRoot w:val="60A77AA0"/>
    <w:rsid w:val="000C42FC"/>
    <w:rsid w:val="006855AD"/>
    <w:rsid w:val="00AE4629"/>
    <w:rsid w:val="213E7604"/>
    <w:rsid w:val="248A1CD5"/>
    <w:rsid w:val="323D5EBE"/>
    <w:rsid w:val="33DC3384"/>
    <w:rsid w:val="34B91ACA"/>
    <w:rsid w:val="596E06BD"/>
    <w:rsid w:val="5CD57ABE"/>
    <w:rsid w:val="5CE169BD"/>
    <w:rsid w:val="60A77AA0"/>
    <w:rsid w:val="63AE40D7"/>
    <w:rsid w:val="6E312464"/>
    <w:rsid w:val="779F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